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DE" w:rsidRDefault="005715CF">
      <w:pPr>
        <w:spacing w:line="400" w:lineRule="exac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附件</w:t>
      </w:r>
    </w:p>
    <w:p w:rsidR="00A304DE" w:rsidRDefault="005715CF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2215"/>
        <w:gridCol w:w="662"/>
        <w:gridCol w:w="1062"/>
        <w:gridCol w:w="788"/>
        <w:gridCol w:w="643"/>
        <w:gridCol w:w="1522"/>
        <w:gridCol w:w="278"/>
        <w:gridCol w:w="1538"/>
        <w:gridCol w:w="1325"/>
        <w:gridCol w:w="1483"/>
      </w:tblGrid>
      <w:tr w:rsidR="00A304DE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A304DE" w:rsidRDefault="005715C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基于个体化理念指导肺癌多学科精准诊治的研究</w:t>
            </w:r>
          </w:p>
        </w:tc>
      </w:tr>
      <w:tr w:rsidR="00A304DE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A304DE" w:rsidRDefault="005715C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天津市</w:t>
            </w:r>
          </w:p>
        </w:tc>
        <w:tc>
          <w:tcPr>
            <w:tcW w:w="2165" w:type="dxa"/>
            <w:gridSpan w:val="2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国家级二等奖</w:t>
            </w:r>
          </w:p>
        </w:tc>
      </w:tr>
      <w:tr w:rsidR="00A304DE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A304DE" w:rsidRDefault="005715C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:rsidR="00A304DE" w:rsidRDefault="005715CF">
            <w:pPr>
              <w:spacing w:line="400" w:lineRule="exact"/>
              <w:ind w:firstLineChars="200" w:firstLine="42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王平，王长利，叶兆祥，李凯，</w:t>
            </w:r>
            <w:r w:rsidR="004200FB">
              <w:rPr>
                <w:rFonts w:ascii="宋体" w:hAnsi="宋体" w:hint="eastAsia"/>
                <w:color w:val="000000"/>
                <w:sz w:val="21"/>
              </w:rPr>
              <w:t>付东山，</w:t>
            </w:r>
            <w:r>
              <w:rPr>
                <w:rFonts w:ascii="宋体" w:hAnsi="宋体" w:hint="eastAsia"/>
                <w:color w:val="000000"/>
                <w:sz w:val="21"/>
              </w:rPr>
              <w:t>张真发，袁智勇，赵路军，刘颖，岳东升</w:t>
            </w:r>
          </w:p>
        </w:tc>
      </w:tr>
      <w:tr w:rsidR="00A304DE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A304DE" w:rsidRDefault="005715C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:rsidR="00A304DE" w:rsidRDefault="005715CF">
            <w:pPr>
              <w:spacing w:line="400" w:lineRule="exact"/>
              <w:ind w:firstLineChars="200" w:firstLine="42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天津医科大学肿瘤医院</w:t>
            </w:r>
            <w:r w:rsidR="00EB52DF">
              <w:rPr>
                <w:rFonts w:ascii="宋体" w:hAnsi="宋体" w:hint="eastAsia"/>
                <w:color w:val="000000"/>
                <w:sz w:val="21"/>
              </w:rPr>
              <w:t>、</w:t>
            </w:r>
            <w:r w:rsidR="00EB52DF" w:rsidRPr="00EB52DF">
              <w:rPr>
                <w:rFonts w:ascii="宋体" w:hAnsi="宋体" w:hint="eastAsia"/>
                <w:color w:val="000000"/>
                <w:sz w:val="21"/>
              </w:rPr>
              <w:t>江苏瑞尔医疗科技有限公司</w:t>
            </w:r>
            <w:bookmarkStart w:id="0" w:name="_GoBack"/>
            <w:bookmarkEnd w:id="0"/>
          </w:p>
        </w:tc>
      </w:tr>
      <w:tr w:rsidR="00A304DE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2215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662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62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31" w:type="dxa"/>
            <w:gridSpan w:val="2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A304DE" w:rsidRDefault="005715CF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A304DE">
        <w:trPr>
          <w:trHeight w:val="815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专利</w:t>
            </w:r>
          </w:p>
        </w:tc>
        <w:tc>
          <w:tcPr>
            <w:tcW w:w="2215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一种基于双能X射线图像的软组织病灶定位方法及系统</w:t>
            </w:r>
          </w:p>
        </w:tc>
        <w:tc>
          <w:tcPr>
            <w:tcW w:w="662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ZL201110265119.8</w:t>
            </w:r>
          </w:p>
        </w:tc>
        <w:tc>
          <w:tcPr>
            <w:tcW w:w="1431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07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09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1440282</w:t>
            </w:r>
          </w:p>
        </w:tc>
        <w:tc>
          <w:tcPr>
            <w:tcW w:w="1538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江苏瑞尔医疗科技有限公司</w:t>
            </w:r>
          </w:p>
        </w:tc>
        <w:tc>
          <w:tcPr>
            <w:tcW w:w="1325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付东山</w:t>
            </w:r>
          </w:p>
        </w:tc>
        <w:tc>
          <w:tcPr>
            <w:tcW w:w="1483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有效专利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专利</w:t>
            </w:r>
          </w:p>
        </w:tc>
        <w:tc>
          <w:tcPr>
            <w:tcW w:w="2215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一种二维-三维医学图像配准方法及系统</w:t>
            </w:r>
          </w:p>
        </w:tc>
        <w:tc>
          <w:tcPr>
            <w:tcW w:w="662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ZL201110125385.0</w:t>
            </w:r>
          </w:p>
        </w:tc>
        <w:tc>
          <w:tcPr>
            <w:tcW w:w="1431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04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1174646</w:t>
            </w:r>
          </w:p>
        </w:tc>
        <w:tc>
          <w:tcPr>
            <w:tcW w:w="1538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江苏瑞尔医疗科技有限公司</w:t>
            </w:r>
          </w:p>
        </w:tc>
        <w:tc>
          <w:tcPr>
            <w:tcW w:w="1325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付东山</w:t>
            </w:r>
          </w:p>
        </w:tc>
        <w:tc>
          <w:tcPr>
            <w:tcW w:w="1483" w:type="dxa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有效专利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专利</w:t>
            </w:r>
          </w:p>
        </w:tc>
        <w:tc>
          <w:tcPr>
            <w:tcW w:w="2215" w:type="dxa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一种基于双平板的二维-三维医学图像配准方法及系统</w:t>
            </w:r>
          </w:p>
        </w:tc>
        <w:tc>
          <w:tcPr>
            <w:tcW w:w="662" w:type="dxa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中国</w:t>
            </w:r>
          </w:p>
        </w:tc>
        <w:tc>
          <w:tcPr>
            <w:tcW w:w="1062" w:type="dxa"/>
            <w:vAlign w:val="center"/>
          </w:tcPr>
          <w:p w:rsidR="00A304DE" w:rsidRDefault="005715CF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ZL201110125385.0</w:t>
            </w:r>
          </w:p>
        </w:tc>
        <w:tc>
          <w:tcPr>
            <w:tcW w:w="1431" w:type="dxa"/>
            <w:gridSpan w:val="2"/>
            <w:vAlign w:val="center"/>
          </w:tcPr>
          <w:p w:rsidR="00A304DE" w:rsidRDefault="005715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09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1277883</w:t>
            </w:r>
          </w:p>
        </w:tc>
        <w:tc>
          <w:tcPr>
            <w:tcW w:w="1538" w:type="dxa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江苏瑞尔医疗科技有限公司</w:t>
            </w:r>
          </w:p>
        </w:tc>
        <w:tc>
          <w:tcPr>
            <w:tcW w:w="1325" w:type="dxa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付东山</w:t>
            </w:r>
          </w:p>
        </w:tc>
        <w:tc>
          <w:tcPr>
            <w:tcW w:w="1483" w:type="dxa"/>
            <w:vAlign w:val="center"/>
          </w:tcPr>
          <w:p w:rsidR="00A304DE" w:rsidRDefault="005715C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有效专利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Factors Affecting the Risk of Brain Metastasis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in Small Cell Lung </w:t>
            </w:r>
            <w:r>
              <w:rPr>
                <w:rFonts w:ascii="宋体" w:hAnsi="宋体"/>
                <w:color w:val="000000"/>
                <w:sz w:val="21"/>
              </w:rPr>
              <w:lastRenderedPageBreak/>
              <w:t>Cancer With Surgery: Is Prophylactic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sz w:val="21"/>
              </w:rPr>
              <w:t>Cranial Irradiation Necessary for Stage I-III Disease?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sz w:val="21"/>
              </w:rPr>
              <w:lastRenderedPageBreak/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Int J Radiat Oncol Biol Phys. 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2013年1月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2013 Jan 1;85(1):196-200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</w:rPr>
              <w:t>王平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Targeting pyruvate kinase M2 contributes to radiosensitivity of nonsmall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cell lung cancer cells in vitro and in vivo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Cancer Letters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2014年11月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2015 Jan 28;356(2 Pt B):985-93.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王平</w:t>
            </w:r>
          </w:p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</w:p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</w:p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</w:p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</w:p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Receipt of thoracic radiation therapy and radiotherapy dose are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correlated with outcomes in a retrospective study of three hundred and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six patients with extensive stage small-cell lung cancer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Radiother Oncol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2017年11月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2017 Nov;125(2):331-337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王平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Clinical Significance of 4L Lymph Node Dissection in Left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lastRenderedPageBreak/>
              <w:t>Lung Cancer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lastRenderedPageBreak/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J. Clin. Oncol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2018年10月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 10 10;36(29)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张真发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Erlotinib versus vinorelbine plus cisplatin as adjuvant therapy in Chinese patients with stage IIIA EGFR mutation-positive non-small-cell lung cancer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Lancet Respir Med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2018年11月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 11;6(11)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王长利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Radiologic Features of Small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Pulmonary Nodules and Lung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Cancer Risk in the National Lung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Screening Trial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Radiology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2018年1月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2018 01;286(1)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叶兆祥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  <w:tr w:rsidR="00A304DE">
        <w:trPr>
          <w:trHeight w:val="476"/>
          <w:jc w:val="center"/>
        </w:trPr>
        <w:tc>
          <w:tcPr>
            <w:tcW w:w="710" w:type="dxa"/>
            <w:vAlign w:val="center"/>
          </w:tcPr>
          <w:p w:rsidR="00A304DE" w:rsidRDefault="005715CF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论文</w:t>
            </w:r>
          </w:p>
        </w:tc>
        <w:tc>
          <w:tcPr>
            <w:tcW w:w="2215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default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Circulating endothelial cells and tumor blood volume</w:t>
            </w:r>
          </w:p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as predictors in lung cancer </w:t>
            </w:r>
          </w:p>
        </w:tc>
        <w:tc>
          <w:tcPr>
            <w:tcW w:w="6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中国</w:t>
            </w:r>
          </w:p>
        </w:tc>
        <w:tc>
          <w:tcPr>
            <w:tcW w:w="1062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Cancer Sci.</w:t>
            </w:r>
          </w:p>
        </w:tc>
        <w:tc>
          <w:tcPr>
            <w:tcW w:w="1431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2013年4月</w:t>
            </w:r>
          </w:p>
        </w:tc>
        <w:tc>
          <w:tcPr>
            <w:tcW w:w="1800" w:type="dxa"/>
            <w:gridSpan w:val="2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2013 Apr;104(4)</w:t>
            </w:r>
          </w:p>
        </w:tc>
        <w:tc>
          <w:tcPr>
            <w:tcW w:w="1538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李凯</w:t>
            </w:r>
          </w:p>
        </w:tc>
        <w:tc>
          <w:tcPr>
            <w:tcW w:w="1325" w:type="dxa"/>
          </w:tcPr>
          <w:p w:rsidR="00A304DE" w:rsidRDefault="00A304DE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3" w:type="dxa"/>
          </w:tcPr>
          <w:p w:rsidR="00A304DE" w:rsidRDefault="005715CF">
            <w:pPr>
              <w:pStyle w:val="a3"/>
              <w:spacing w:line="390" w:lineRule="exact"/>
              <w:ind w:firstLineChars="0"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其他有效知识产权</w:t>
            </w:r>
          </w:p>
        </w:tc>
      </w:tr>
    </w:tbl>
    <w:p w:rsidR="00A304DE" w:rsidRDefault="00A304DE">
      <w:pPr>
        <w:spacing w:line="20" w:lineRule="exact"/>
        <w:rPr>
          <w:sz w:val="21"/>
          <w:szCs w:val="21"/>
        </w:rPr>
      </w:pPr>
    </w:p>
    <w:sectPr w:rsidR="00A30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7B" w:rsidRDefault="00522B7B">
      <w:pPr>
        <w:spacing w:line="240" w:lineRule="auto"/>
      </w:pPr>
      <w:r>
        <w:separator/>
      </w:r>
    </w:p>
  </w:endnote>
  <w:endnote w:type="continuationSeparator" w:id="0">
    <w:p w:rsidR="00522B7B" w:rsidRDefault="00522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7B" w:rsidRDefault="00522B7B">
      <w:pPr>
        <w:spacing w:line="240" w:lineRule="auto"/>
      </w:pPr>
      <w:r>
        <w:separator/>
      </w:r>
    </w:p>
  </w:footnote>
  <w:footnote w:type="continuationSeparator" w:id="0">
    <w:p w:rsidR="00522B7B" w:rsidRDefault="00522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DE" w:rsidRDefault="00A304DE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91"/>
    <w:rsid w:val="000C7F6B"/>
    <w:rsid w:val="001140EF"/>
    <w:rsid w:val="00124973"/>
    <w:rsid w:val="001668F4"/>
    <w:rsid w:val="0017059E"/>
    <w:rsid w:val="001B472D"/>
    <w:rsid w:val="001C156A"/>
    <w:rsid w:val="00287332"/>
    <w:rsid w:val="003B6016"/>
    <w:rsid w:val="004200FB"/>
    <w:rsid w:val="00421DF8"/>
    <w:rsid w:val="004D1208"/>
    <w:rsid w:val="00522B7B"/>
    <w:rsid w:val="00533315"/>
    <w:rsid w:val="005715CF"/>
    <w:rsid w:val="00587D24"/>
    <w:rsid w:val="00646ECD"/>
    <w:rsid w:val="006B2E99"/>
    <w:rsid w:val="007321E7"/>
    <w:rsid w:val="007462CD"/>
    <w:rsid w:val="007B2730"/>
    <w:rsid w:val="007E7EF7"/>
    <w:rsid w:val="008F4B96"/>
    <w:rsid w:val="00953187"/>
    <w:rsid w:val="009D3FAC"/>
    <w:rsid w:val="009F08CF"/>
    <w:rsid w:val="00A304DE"/>
    <w:rsid w:val="00A64BC1"/>
    <w:rsid w:val="00A721D4"/>
    <w:rsid w:val="00AB0DA4"/>
    <w:rsid w:val="00B30715"/>
    <w:rsid w:val="00B628EC"/>
    <w:rsid w:val="00B84FA2"/>
    <w:rsid w:val="00BF39D0"/>
    <w:rsid w:val="00C65B5F"/>
    <w:rsid w:val="00C73532"/>
    <w:rsid w:val="00CA661D"/>
    <w:rsid w:val="00CB4E89"/>
    <w:rsid w:val="00CC1191"/>
    <w:rsid w:val="00D1233C"/>
    <w:rsid w:val="00D1337D"/>
    <w:rsid w:val="00D67FBB"/>
    <w:rsid w:val="00E02738"/>
    <w:rsid w:val="00E939F0"/>
    <w:rsid w:val="00EB52DF"/>
    <w:rsid w:val="00FD7EFC"/>
    <w:rsid w:val="0EFC105B"/>
    <w:rsid w:val="16C9354B"/>
    <w:rsid w:val="1D536E88"/>
    <w:rsid w:val="256B1553"/>
    <w:rsid w:val="32436510"/>
    <w:rsid w:val="42582E81"/>
    <w:rsid w:val="494644B1"/>
    <w:rsid w:val="54736D87"/>
    <w:rsid w:val="6EC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DA61"/>
  <w15:docId w15:val="{39E582BB-8B5D-D443-8F75-3D084A74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Li Qing</cp:lastModifiedBy>
  <cp:revision>10</cp:revision>
  <cp:lastPrinted>2019-12-03T02:10:00Z</cp:lastPrinted>
  <dcterms:created xsi:type="dcterms:W3CDTF">2019-12-12T06:54:00Z</dcterms:created>
  <dcterms:modified xsi:type="dcterms:W3CDTF">2019-12-24T06:11:00Z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